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IntAct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Menj az IntAct weboldalára: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http://www.ebi.ac.uk/intact/</w:t>
        </w:r>
      </w:hyperlink>
      <w:r w:rsidDel="00000000" w:rsidR="00000000" w:rsidRPr="00000000">
        <w:rPr>
          <w:rtl w:val="0"/>
        </w:rPr>
        <w:t xml:space="preserve"> és keress rá az LRRK1 fehérjére.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Hány interakciót találsz?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Kattints rá a “customize view’ feliratra és add hozzá a fajt (species A és B).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Milyen fajokból származnak az interakciós partnerek?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Vegyük ki a spoke expanded intterakciókat. Mennyi kölcsönhatás marad?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Nézd meg a gráf nézetet.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Nézd meg az interakciós partnerek listáját. Hány partner van?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Milyen nem-fejérje típusú kölcsönhatási partnerek vannak még?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Sorolj fel néhány detekciós módszert, amivel a kölcsönhatásokat azonosították!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Jelöld ki az összes fehérjét és kattints az interakciók keresésére. Hány kölcsönhatást találtál?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Mik hiányoznak az “LRRK1” eredményekhez képest?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Most keress rá az LRRK1 és a DAPK1 kölcsönhatására. (Írd be mindkért nevet a keresőmezőbe). Kattints az “EBI-” interakciós azonosító kódra. Itt láthatod a publikációs adaokat és a kísérleti leírást. Melyik módszerrel határozták meg ezt a kölcsönhatást?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Menj lejjebb az “Interakcots” és a “Participants” részekhez. Milyen típusú ez a kölcsönhatás?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Kattints a DAPK és LRRK1 sorokban lévő piros F ikonra.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 az a “ha tag” és a “myc tag”? Kattints a linkekere.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Keress rá a “Q95JH6” interakcióira. Mennyit találtál?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Menj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www.ebi.ac.uk/tools/sss/</w:t>
        </w:r>
      </w:hyperlink>
      <w:r w:rsidDel="00000000" w:rsidR="00000000" w:rsidRPr="00000000">
        <w:rPr>
          <w:rtl w:val="0"/>
        </w:rPr>
        <w:t xml:space="preserve"> oldala és válaszd ki az NCBI-BLAST keresést fehérjékre. Illeszd be a Q95JH6 szekvenciáját és indítsd el a keresést.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Nézd meg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“Tool Output” részt, hogy lásd az alignmenteket,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“Visual Output” részt a szekvencia hasonlóság megnézéséhez;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“Functional Predictions” részt a szerkezeti-fukncionális hasonlóságokhoz.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Menj vissza az összefoglaló táblázathoz.  Találsz-e közeli fajokat, amelyeknél ott van a “Molecular Function” annotáció? Mennyi kölcsönhatása van ennek a fehérjének?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BioGRID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Mejd a BioGRID weboldalára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https://thebiogrid.org/</w:t>
        </w:r>
      </w:hyperlink>
      <w:r w:rsidDel="00000000" w:rsidR="00000000" w:rsidRPr="00000000">
        <w:rPr>
          <w:rtl w:val="0"/>
        </w:rPr>
        <w:t xml:space="preserve"> és k</w:t>
      </w:r>
      <w:r w:rsidDel="00000000" w:rsidR="00000000" w:rsidRPr="00000000">
        <w:rPr>
          <w:rtl w:val="0"/>
        </w:rPr>
        <w:t xml:space="preserve">eress rá a humán ACTA1 fehérjére. Mennyi kölcsönhatást találtál?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 kölcsönhatások közül: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mennyi a fizikai és a genetikai kh?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hány interakció jön kis- és nagyskálás vizsgálatokból?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mennyi publikáció van?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Nézd meg az “ineractions” fület. Milyen kísérleteket találsz itt?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Menj a “Newtork” fülre és próbálj ki különböző filtereket, bizonyítékokat és elrendezéseket.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Nézd meg a “Chemicals” és a “PTM Sites” füleket is.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STRING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Menj a STRING weboldalára: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http://string-db.org/</w:t>
        </w:r>
      </w:hyperlink>
      <w:r w:rsidDel="00000000" w:rsidR="00000000" w:rsidRPr="00000000">
        <w:rPr>
          <w:rtl w:val="0"/>
        </w:rPr>
        <w:t xml:space="preserve"> és keress rá a humán TYMS fehérjére.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Egy interaktív fehérjehálózatot kell látnod. A gömbökben a fehérjék ismert illetve prediktált szerkezeteit láthatod, amelyek a PDB-ből és a Swiss-Model-ből jönnek. A fehérjékre kattintva több információt láthatsz,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Menj a “Data Settings”-re és állítsd be a minimális interakciós pontszámot a legmagasabb megbízhatósgára, az interakciós partnerek maximális számát pedig 20-ra.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A vonalak színének jelentése van, nézd meg a jelmagyarázatot.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 TYMS melyik interakciójához van a legtöbb bizonyíték?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A “View Settings”-ben válts át “confidence mode”-ra. Mivel az előbb beállítottuk, hogy csak a legmegbízhatóbb kölcsönhatásokat akarjuk látni, a megjelenített vonalak egyformán vastagok. Most állítsd át a confidence score szűrési kritériumát egy alacsonyabb értékre. Meg kell jelennie vékonyabb vonalaknak is.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Az “Evidence” fülön válaszd a “Coexpression”-t. Egy másik ablakban ismételd meg a keresést az egér TYMS fehérjéjével. Melyik fehérjével korrelál leginkább a TYMS fehérje expressziója?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ring-db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bi.ac.uk/intact/" TargetMode="External"/><Relationship Id="rId7" Type="http://schemas.openxmlformats.org/officeDocument/2006/relationships/hyperlink" Target="http://www.ebi.ac.uk/tools/sss/" TargetMode="External"/><Relationship Id="rId8" Type="http://schemas.openxmlformats.org/officeDocument/2006/relationships/hyperlink" Target="https://thebiogr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